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70 vom 4. Dezember 2013</w:t>
      </w:r>
    </w:p>
    <w:p>
      <w:r>
        <w:t>VS Kantonsgericht, 2013-12-04, FR</w:t>
      </w:r>
    </w:p>
    <w:p>
      <w:r>
        <w:rPr>
          <w:b/>
        </w:rPr>
        <w:t xml:space="preserve">Quelle: </w:t>
      </w:r>
      <w:r>
        <w:t>https://mcp.opencaselaw.ch/entscheid/vs_gerichte_S1 12 70</w:t>
      </w:r>
    </w:p>
    <w:p>
      <w:r>
        <w:t>FR: VS_GERICHTE S1 12 70 du 4 décembre 2013</w:t>
      </w:r>
    </w:p>
    <w:p>
      <w:r>
        <w:t>IT: VS_GERICHTE S1 12 70 del 4 dicembre 2013</w:t>
      </w:r>
    </w:p>
    <w:p>
      <w:pPr>
        <w:pStyle w:val="Heading2"/>
      </w:pPr>
      <w:r>
        <w:t>Regeste</w:t>
      </w:r>
    </w:p>
    <w:p>
      <w:r>
        <w:t>Par arrêt du 4 décembre 2013 (9C_496/2013), le Tribunal fédéral a rejeté le recours en matière de droit public interjeté par X_________ contre ce jugement. S1 12 70 JUGEMENT DU 28 MAI 2013 Tribunal cantonal du Valais Cour des assurances sociales Composition : Eve-Marie Dayer-Schmid, présidente ; Thomas Brunner et Jean-Pierre Zufferey, juges ; Pierre-André Moix, greffier en la cause X__________, recourante, représentée par Maître A__________ contre OFFICE CANTONAL AI DU VALAIS, intimé (rente et reclassement, activité ménagère</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28 mars 2012, le présent recours à l'encontre des décisions du 21 février précédent a été interjeté dans le délai légal de trente jours (art. 60 LPGA) devant l'instance compétente (art. 56, 57 et 58 LPGA; art. 81bis al. 1 LPJA). Il répond par ailleurs aux autres conditions formelles de recevabilité (art. 61 let. b LPGA), de sorte que la Cour doit entrer en matière. Ces deux décisions - soit l'une refusant le droit à une rente d'invalidité et l'autre celui à un reclassement - portent sur le même complexe de faits relatifs au même assuré et ont été contestées en un seul mémoire de recours, si bien qu'elles seront traitées en un seul et même jugement (art. 81bis al. 2 en relation avec l'art. 11b al. 2 LPJA).</w:t>
      </w:r>
    </w:p>
    <w:p>
      <w:r>
        <w:rPr>
          <w:b/>
        </w:rPr>
        <w:t>E. 2.1</w:t>
      </w:r>
    </w:p>
    <w:p>
      <w:r>
        <w:t>Le litige porte tout d’abord sur le droit de l’assurée à une rente de l’assurance- invalidité, en particulier sur son taux d’incapacité de travail. 2.2.1 L'article 4 LAI dispose que l'invalidité peut résulter d'une infirmité congénitale, d'une maladie ou d'un accident; elle est réputée survenue dès qu'elle est, par sa nature et sa gravité, propre à ouvrir droit aux prestations entrant en considération. Toute « invalidité » n'ouvre pas nécessairement le droit à une rente. Selon l'article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La rente est échelonnée selon le taux d’invalidité: Taux d’invalidité</w:t>
      </w:r>
    </w:p>
    <w:p>
      <w:r>
        <w:t>Droit à la rente en fraction d’une rente entière</w:t>
      </w:r>
    </w:p>
    <w:p>
      <w:r>
        <w:t>40 % au moins</w:t>
      </w:r>
    </w:p>
    <w:p>
      <w:r>
        <w:t>un quart 50 % au moins</w:t>
      </w:r>
    </w:p>
    <w:p>
      <w:r>
        <w:t>une demie 60 % au moins</w:t>
      </w:r>
    </w:p>
    <w:p>
      <w:r>
        <w:t>trois quarts 70 % au moins</w:t>
      </w:r>
    </w:p>
    <w:p>
      <w:r>
        <w:t>rente entière</w:t>
      </w:r>
    </w:p>
    <w:p>
      <w:r>
        <w:t>- 5 -</w:t>
      </w:r>
    </w:p>
    <w:p>
      <w:r>
        <w:t>2.2.2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2.2.3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 2.2.4 Chez les assurés qui n'exerçaient que partiellement une activité lucrative, l'invalidité est, pour cette part, évaluée selon la méthode générale de comparaison des revenus. S'ils se consacraient en outre à leurs travaux habituels au sens des articles 28a alinéa 2 LAI et 8 alinéa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w:t>
      </w:r>
    </w:p>
    <w:p>
      <w:r>
        <w:rPr>
          <w:b/>
        </w:rPr>
        <w:t>E. 2.3</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w:t>
      </w:r>
    </w:p>
    <w:p>
      <w:r>
        <w:t>- 6 -</w:t>
      </w:r>
    </w:p>
    <w:p>
      <w:r>
        <w:rPr>
          <w:b/>
        </w:rPr>
        <w:t>E. 2.4</w:t>
      </w:r>
    </w:p>
    <w:p>
      <w:r>
        <w:t>Selon la jurisprudence constante du Tribunal fédéral, l'objet de l'assurance n'est pas l'atteinte à la santé en soi, mais les conséquences économiques qui en découlent, c'est-à-dire l'incapacité de réaliser un gain par un travail exigible. L'assurance-invalidité n'est, en outre, pas une couverture contre la simple perte de gain: c'est une garantie contre la perte de la capacité de gain, ce qui est tout autre chose (RVJ 1981 p. 9 et arrêts cités; Valterio, Droit de l'assurance-vieillesse et survivants (AVS) et de l’assurance-invalidité (AI), Commentaire thématique, Genève / Zurich / Bâle 2011, § 64, n° 1220 et ss). La notion d'incapacité de travail n'est pas nécessairement identique à celle d'incapacité de gain. Une personne présente une incapacité de travail si, en raison d'une atteinte à sa santé physique ou mentale, elle ne peut pas accomplir une partie ou la totalité de ses tâches dans sa profession ou son domaine d'activité. Est par contre réputée incapacité de gain toute diminution de l'ensemble ou d'une partie des possibilités de gain de l'assuré sur le marché du travail équilibré dans son domaine d'activité, si cette diminution résulte d'une atteinte à sa santé physique ou mentale et qu'elle persiste après les traitements et les mesures de réadaptation exigibles. L'invalidité est donc une notion économique et non médicale; elle ne se confond pas forcément avec le taux de l'incapacité fonctionnelle, tel que le détermine le médecin; ce sont les conséquences économiques de l'incapacité fonctionnelle qu'il importe d'évaluer (ATF 110 V 275 consid. 4a; arrêt du Tribunal fédéral I 7/06 du 12 janvier 2007 consid. 4.1). Le dossier médical n'est cependant pas dépourvu d'importance: la description du handicap, des séquelles de la maladie, des fonctions entravées, des risques de rechutes et de l'évolution possible ou probable permet notamment de juger quelles activités demeurent raisonnablement exigibles d'un assuré. A cet égard, la mesure de ce qui est exigible est du ressort du médecin et l'administration ne peut s'en écarter sans motif valable, au risque de tomber dans l'arbitraire. Pour pouvoir calculer le degré d'invalidité, l'administration (ou le juge, s'il y a eu un recours) a ainsi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médecin traitant prend en général position le premier concernant l’atteinte à la santé et ses effets sur la capacité de travail. Il appartient au service médical régional (SMR) de procéder à l’évaluation médicale visant à déterminer s’il s’agit d’une atteinte à la santé ayant valeur d’invalidité (art. 59 al. 2bis LAI; cf. OFAS, Circulaire concernant l'invalidité et l'impotence, CIIAI, chiffres 1001 ss). L'élément déterminant pour la valeur probante d'un rapport médical n'est ni son origine, ni sa désignation, mais son contenu. A cet égard, il importe que les points litigieux importants aient fait l'objet d'une étude fouillée, que le rapport se fonde sur des</w:t>
      </w:r>
    </w:p>
    <w:p>
      <w:r>
        <w:t>- 7 -</w:t>
      </w:r>
    </w:p>
    <w:p>
      <w:r>
        <w:t>examens complets, qu'il prenne également en considération les plaintes exprimées, qu'il ait été établi en pleine connaissance du dossier (anamnèse), que la description des interférences médicales soit claire et enfin que les conclusions de l'expert soient bien motivées. Par ailleurs, le simple fait qu'un avis médical a été établi par un médecin lié à l'administration par un rapport de travail ne permet pas de mettre en doute son objectivité et de suspecter une prévention à l'égard d'un assuré. Pour autant qu'il remplisse les critères posés par la jurisprudence en la matière, un tel rapport revêt une entière valeur probante (ATF 125 V 351 consid. 3).</w:t>
      </w:r>
    </w:p>
    <w:p>
      <w:r>
        <w:rPr>
          <w:b/>
        </w:rPr>
        <w:t>E. 3.1</w:t>
      </w:r>
    </w:p>
    <w:p>
      <w:r>
        <w:t>S’agissant tout d’abord de la situation médicale de la recourante, les avis médicaux du Dr F__________, du Dr H__________ et du Dr I__________ du SMR sont convergents et attestent tous d’une capacité de travail complète, une diminution de rendement de 20% dans son activité habituelle de factrice étant admise par le Dr F__________. Ces avis ont été émis en connaissance du cas, après des examens personnels de l’assurée pour les Drs F__________ et H__________ et ne souffrent pas de lacunes ou de contradictions. Leur valeur probante doit être reconnue, ce d’autant plus qu’aucun autre avis médical ne vient mettre en doute leurs conclusions. La Cour de céans se déclare donc convaincue par l’évaluation de la capacité de travail de la recourante telle que présentée dans la décision entreprise. Pour les mêmes raisons, il convient également de refuser l’organisation d’une nouvelle expertise, telle que requise par l’assurée dans son recours. On ne voit en effet pas en quoi une nouvelle expertise pourrait permettre à la Cour de céans de mieux apprécier les faits pertinents du cas d'espèce. En outre, une telle mesure ne serait nécessaire que si les conclusions des rapports médicaux au dossier étaient entachées d'erreurs, de contradictions ou de lacunes, ou encore si un spécialiste avait émis des opinions contraires aptes à mettre sérieusement en doute la pertinence des déductions des praticiens (ATF 112 V 32 et les références). Tel n’est cependant pas le cas en l’espèce.</w:t>
      </w:r>
    </w:p>
    <w:p>
      <w:r>
        <w:rPr>
          <w:b/>
        </w:rPr>
        <w:t>E. 3.2</w:t>
      </w:r>
    </w:p>
    <w:p>
      <w:r>
        <w:t>La recourante affirme ensuite que sans l’accident du 20 décembre 2008, elle aurait rapidement augmenté ses horaires afin d’exercer une activité lucrative à plein temps et conteste la teneur de l’enquête économique établie par l’OAI en date du 28 janvier 2011. Il ressort de cette pièce du dossier de l’OAI que sans son accident, elle aurait certainement été nommée en emploi fixe dans un taux entre 50% et 70% et qu’elle n’avait pas de raisons familiales ou financière de modifier son taux d’activité ascendant à 82% compte tenu des trois activités professionnelles exercées. En présence de deux versions contradictoires, la jurisprudence considère que la préférence doit être accordée à celle que l'assurée a donnée alors qu'elle en ignorait peut-être les conséquences juridiques, les explications nouvelles pouvant être</w:t>
      </w:r>
    </w:p>
    <w:p>
      <w:r>
        <w:t>- 8 -</w:t>
      </w:r>
    </w:p>
    <w:p>
      <w:r>
        <w:t>consciemment ou non le fruit de réflexions ultérieures (ATF 121 V 45 consid. 2a p. 47, arrêt du Tribunal fédéral 9C_663/2009 du 1er février 2010 consid. 3.2). En outre, il sied de rappeler que la situation familiale de l’assurée est stabilisée depuis de nombreuses années, eu égard au fait que ses enfants, nés en 1971, 1973 et 1981 sont adultes depuis longtemps et que la situation de son époux, rentier AI, ne s’est pas non plus modifiée récemment. Rien ne permet donc d’étayer l’affirmation de la recourante selon laquelle elle aurait exercé une activité à plein temps en l’absence de son accident de la circulation du 20 décembre 2008. A l’instar de l’OAI, la Cour de céans considère donc que les affirmations de la recourante ne sont pas corroborées par les éléments du dossier et se déclare convaincue - au degré de la vraisemblance prépondérante requise en assurances sociales - par l’appréciation de l’enquêteur de l’OAI consignée dans le rapport du 28 janvier 2011. On rappellera en outre qu’aux termes de l’article 43 alinéa 1 LPGA, l’assureur examine les demandes, prend d’office les mesures d’instruction nécessaires et recueille les renseignements dont il a besoin. Les renseignements donnés oralement doivent être consignés par écrit (principe inquisitoire; voir ATF 125 V 195 consid. 2 et les références). Le principe de la bonne foi impose cependant aux assureurs et aux assurés de se comporter les uns vis-à-vis des autres de manière loyale (ATF 108 V 88 consid. 3a et les références). Dans le domaine des assurances sociales, la procédure est certes régie par le principe inquisitoire, selon lequel les faits pertinents de la cause doivent être constatés d'office par le juge (ATF 125 V 193 consid. 2). Toutefois,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(appréciation des preuves anticipée; ATF 104 V 209 consid. a ; Kolz/Häner, Verwaltungsverfahren und Verwaltungsrechtspflege des Bundes, p. 47, no 63; Gygi, Bundesverwaltungsrechtspflege, 2e éd., p. 274; Kummer, Grundriss des Zivilprozessrechts, 4e éd., p. 135). Une telle manière de procéder ne viole pas le droit d'être entendu selon l'art. 29 al. 2 Cst. (ATF 122 V 157 consid. 1d; 119 V 335 consid. 3c).</w:t>
      </w:r>
    </w:p>
    <w:p>
      <w:r>
        <w:rPr>
          <w:b/>
        </w:rPr>
        <w:t>E. 3.3</w:t>
      </w:r>
    </w:p>
    <w:p>
      <w:r>
        <w:t>La recourante conteste ensuite que l’on tienne compte de l’aide de son mari dans la tenue de son ménage. La jurisprudence considère cependant que dans le cadre de l’obligation de diminuer son dommage, la personne assurée est notamment tenue d'adopter une méthode de travail adéquate, de répartir son travail en conséquence et de demander l'aide de ses proches dans une mesure convenable (voir ATF 133 V 504 consid. 4.2). Dès lors, en tenant compte de l’aide de l’époux pour certaines tâches du ménage, de manière non excessive et conforme à ce que l’on peut exiger dans le cadre d’une union conjugale</w:t>
      </w:r>
    </w:p>
    <w:p>
      <w:r>
        <w:t>- 9 -</w:t>
      </w:r>
    </w:p>
    <w:p>
      <w:r>
        <w:t>(voir arrêt du Tribunal fédéral 9C_512/2010 du 14 avril 2011 consid. 2.1.2), l’OAI a fait une correcte application des règles fixées par le Tribunal fédéral, de sorte que le grief de la recourante est dénué de pertinence. On notera au surplus que la recourante a pu compter sur l’aide de son mari et de son fils afin d’assurer son travail de concierge alors qu’elle n’était plus en mesure de le faire compte tenu des douleurs liées à sa situation médicale. A fortiori, une telle aide pourra aussi être exigée des membres de sa famille dans le cadre de la tenue du ménage familial, les tâches pour lesquelles une aide étant nécessaire n’étant au surplus pas excessives.</w:t>
      </w:r>
    </w:p>
    <w:p>
      <w:r>
        <w:rPr>
          <w:b/>
        </w:rPr>
        <w:t>E. 3.4</w:t>
      </w:r>
    </w:p>
    <w:p>
      <w:r>
        <w:t>Le revenu avec invalidité est également contesté par la recourante qui estime que l’OAI n’aurait pas dû prendre en compte les salaires statistiques mais les revenus indexés qu’elle aurait obtenus de manière concrète dans les activités auxquelles elle a dû renoncer. S’agissant tout d’abord de son activité de factrice, la critique tombe à faux puisque l’assurée a pu continuer à l’exercer, moyennement certains aménagements consentis par son supérieur. En ce qui concerne les activités de concierge et de nettoyeuse, il n’est pas contesté qu’elles ne sont désormais plus exigibles. Cependant, la recourante dispose d’une pleine capacité de travail dans une activité adaptée mais ne la met actuellement pas pleinement en valeur puisqu’elle n’exerce que sa profession de factrice à hauteur de 57%, ayant abandonné toute autre activité lucrative. Selon la jurisprudence,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(ATF 135 V 297 consid. 5.2 et les références, 129 V 472 consid. 4.2.1). Compte tenu du fait qu’avant la survenance de son accident, l’assurée exerçait des activités lucratives pour un total de 82% et qu’elle œuvre désormais uniquement dans son activité de factrice à 57%, c’est à juste titre que l’OAI a tenu compte des salaires statistiques afin de fixer le salaire que l’assurée pourrait réaliser à 25%, en remplacement des ses anciennes activités de concierge et de nettoyeuse.</w:t>
      </w:r>
    </w:p>
    <w:p>
      <w:r>
        <w:rPr>
          <w:b/>
        </w:rPr>
        <w:t>E. 4</w:t>
      </w:r>
    </w:p>
    <w:p>
      <w:r>
        <w:t>Le litige porte également sur le refus d'un reclassement au sens de l'article 17 LAI. En vertu de l'article 8 alinéa 1 LAI, les assurés invalides ou menacés d'une invalidité (art. 8 LPGA) imminente ont droit aux mesures de réadaptation nécessaires qui sont</w:t>
      </w:r>
    </w:p>
    <w:p>
      <w:r>
        <w:t>- 10 -</w:t>
      </w:r>
    </w:p>
    <w:p>
      <w:r>
        <w:t>de nature à rétablir, à maintenir ou à améliorer leur capacité de gain ou leur capacité d'accomplir leurs travaux habituels, qu'ils aient ou non exercé une activité lucrative préalable. Les mesures de réadaptation comprennent notamment des mesures d'ordre professionnel telles qu'un reclassement professionnel ou l'intervention du service de placement (cf. art. 8 al. 3 let. b LAI). L'assuré a droit au reclassement dans une nouvelle profession si son invalidité rend cette mesure nécessaire et si sa capacité de gain peut ainsi, selon toute vraisemblance, être sauvegardée ou améliorée (art. 17 al. 1 LAI).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(art. 6 al. 1 RAI). Il y a droit au reclassement lorsque l'atteinte à la santé revêt des proportions telles que la reprise de l'activité lucrative antérieure n'est pas raisonnablement exigible ou qu'elle a pour conséquence une diminution durable de la capacité de gain d'environ 20%, ou lorsqu'une telle situation est imminente (ATF 130 V 488 consid. 4.2, 124 V 110 consid. 1b). En l'occurrence, l'intimé a considéré que le taux d'invalidité n’atteignait pas le seuil requis par la jurisprudence et que la recourante avait en outre pu poursuivre son activité principale de factrice. C'est donc à juste titre que l'intimé a nié le droit de la recourante à un reclassement, les conditions donnant droit à une telle mesure n'étant pas remplies dans le cas d'espèce.</w:t>
      </w:r>
    </w:p>
    <w:p>
      <w:r>
        <w:rPr>
          <w:b/>
        </w:rPr>
        <w:t>E. 5</w:t>
      </w:r>
    </w:p>
    <w:p>
      <w:r>
        <w:t>Au terme de ces développements, aucun des griefs articulés par la recourante ne peut être retenu. Le recours doit dès lors être rejeté et les décisions entreprises confirmées.</w:t>
      </w:r>
    </w:p>
    <w:p>
      <w:r>
        <w:rPr>
          <w:b/>
        </w:rPr>
        <w:t>E. 6</w:t>
      </w:r>
    </w:p>
    <w:p>
      <w:r>
        <w:t>Eu égard à l'issue de la cause, il n’est pas alloué de dépens (art. 61 let. g LPGA a contrario). Les frais de justice, arrêtés à 800 fr. en fonction de la difficulté moyenne de la présente procédure (art. 69 al. 1bis LAI), sont mis à charge de la recourante et compensés avec son avance.</w:t>
      </w:r>
    </w:p>
    <w:p>
      <w:r>
        <w:t>Prononce</w:t>
      </w:r>
    </w:p>
    <w:p>
      <w:r>
        <w:t>1. Le recours est rejeté. 2. Les frais de justice, par 800 fr., sont mis à charge de X__________. 3. Il n’est pas alloué de dépens.</w:t>
      </w:r>
    </w:p>
    <w:p>
      <w:r>
        <w:t>Sion, le 28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